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bCs/>
          <w:sz w:val="44"/>
          <w:szCs w:val="44"/>
          <w:lang w:val="en-US" w:eastAsia="zh-CN"/>
        </w:rPr>
        <w:t>2021-2022年度自治区职业教育研究课题推荐名单公示</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开展2021-2022年度职业教育研究课题申报工作的通知》（新教科研函〔2021〕255号），学院于2021年6月19日发布2021-2022年度自治区职业教育研究课题申报通知，各二级学院、处（室）积极组织申报，共收到12份课题申报材料。在学院纪委监督下按照学院有关规定，严格执行课题组成员回避制度，聘请了3名校内专家对课题进行认真评审，项目排名附后（由高到低）。依据专家评审结果，拟推荐《“双高计划”背景下高职院校专业群建设的机理与实践路径的研究》等课题研究项目排名前5项，上报吐鲁番市教育局。现将项目评审排名公示如下，如有异议，请在公示规定的时间内直接向纪检监察室或规划科研处反映，纪检监察室电话：8575211，规划科研处电话：13279913231，也可用书面形式反映，以个人名义反映的要签署本人真实姓名，直接交纪检监察室或规划科研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公示期：2021年7月19日—2021年7月20日。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吐鲁番职业技术学院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2021年7月19日</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吐鲁番职业技术学院</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2021-2022年度自治区职业教育研究课题推荐名单</w:t>
      </w: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58"/>
        <w:gridCol w:w="5102"/>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排名</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课题类型</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课题名称</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1</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“双高计划”背景下高职院校专业群建设的机理与实践路径研究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苏峰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2</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小微课题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基于利益相关者视角的酒店管理与数字化运营专业的现代学徒制研究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3</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小微课题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sz w:val="28"/>
                <w:szCs w:val="28"/>
                <w:highlight w:val="none"/>
                <w:shd w:val="clear" w:color="auto" w:fill="auto"/>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职业院校“双师型”师资队伍建设研究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aps w:val="0"/>
                <w:color w:val="auto"/>
                <w:spacing w:val="0"/>
                <w:sz w:val="28"/>
                <w:szCs w:val="28"/>
                <w:highlight w:val="none"/>
                <w:shd w:val="clear" w:color="auto" w:fill="auto"/>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刘刚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4</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rPr>
              <w:t>高职院校护理专业学生职业适应性研究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rPr>
              <w:t>玛伊努尔</w:t>
            </w: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w:t>
            </w:r>
            <w:r>
              <w:rPr>
                <w:rFonts w:hint="eastAsia" w:ascii="仿宋_GB2312" w:hAnsi="仿宋_GB2312" w:eastAsia="仿宋_GB2312" w:cs="仿宋_GB2312"/>
                <w:b w:val="0"/>
                <w:bCs w:val="0"/>
                <w:color w:val="auto"/>
                <w:sz w:val="28"/>
                <w:szCs w:val="28"/>
                <w:highlight w:val="none"/>
                <w:shd w:val="clear" w:color="auto" w:fill="auto"/>
                <w:vertAlign w:val="baseline"/>
              </w:rPr>
              <w:t>依克木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5</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民族地区职业教育教师队伍建设研究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巩建军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6</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小微课题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1+X证书制度背景下高职语文教学改革的实践研究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宋雅娟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7</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技能大赛背景下新疆高职院校课堂教学改革路径研究-以吐鲁番职业技术学院为例</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王万里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8</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小微课题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高职院校教师教学能力评价体系探索研究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李婷娥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9</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增强康复治疗技术专业适应性路径研究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于霞霞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10</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吐鲁番职业院校专业设置与区域产业结构吻合度研究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杨丽萍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11</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新疆高等职业院校旅游管理专业设置与区域产业对接研究</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解海群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pPr>
            <w:r>
              <w:rPr>
                <w:rFonts w:hint="eastAsia" w:ascii="仿宋_GB2312" w:hAnsi="仿宋_GB2312" w:eastAsia="仿宋_GB2312" w:cs="仿宋_GB2312"/>
                <w:b w:val="0"/>
                <w:bCs w:val="0"/>
                <w:color w:val="auto"/>
                <w:sz w:val="28"/>
                <w:szCs w:val="28"/>
                <w:highlight w:val="none"/>
                <w:shd w:val="clear" w:color="auto" w:fill="auto"/>
                <w:vertAlign w:val="baseline"/>
                <w:lang w:val="en-US" w:eastAsia="zh-CN"/>
              </w:rPr>
              <w:t>12</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一般课题</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i w:val="0"/>
                <w:caps w:val="0"/>
                <w:color w:val="auto"/>
                <w:spacing w:val="0"/>
                <w:sz w:val="28"/>
                <w:szCs w:val="28"/>
                <w:highlight w:val="none"/>
                <w:shd w:val="clear" w:color="auto" w:fill="auto"/>
              </w:rPr>
              <w:t>“三全育人”理念下劳动教育与畜牧专业相结合的实践探索</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8"/>
                <w:szCs w:val="28"/>
                <w:highlight w:val="none"/>
                <w:shd w:val="clear" w:color="auto" w:fill="auto"/>
                <w:vertAlign w:val="baseline"/>
              </w:rPr>
            </w:pPr>
            <w:r>
              <w:rPr>
                <w:rFonts w:hint="eastAsia" w:ascii="仿宋_GB2312" w:hAnsi="仿宋_GB2312" w:eastAsia="仿宋_GB2312" w:cs="仿宋_GB2312"/>
                <w:b w:val="0"/>
                <w:bCs w:val="0"/>
                <w:color w:val="auto"/>
                <w:sz w:val="28"/>
                <w:szCs w:val="28"/>
                <w:highlight w:val="none"/>
                <w:shd w:val="clear" w:color="auto" w:fill="auto"/>
                <w:vertAlign w:val="baseline"/>
                <w:lang w:eastAsia="zh-CN"/>
              </w:rPr>
              <w:t>王林娜</w:t>
            </w:r>
          </w:p>
        </w:tc>
      </w:tr>
    </w:tbl>
    <w:p/>
    <w:sectPr>
      <w:pgSz w:w="11906" w:h="16838"/>
      <w:pgMar w:top="2098" w:right="1531" w:bottom="130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21512"/>
    <w:rsid w:val="0EBD6B1A"/>
    <w:rsid w:val="444A6430"/>
    <w:rsid w:val="53B46850"/>
    <w:rsid w:val="6C7726F6"/>
    <w:rsid w:val="6D756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2020-07-15T11:03:00Z</dcterms:created>
  <dc:creator>muyueyang</dc:creator>
  <cp:lastModifiedBy>大儒</cp:lastModifiedBy>
  <dcterms:modified xsi:type="dcterms:W3CDTF">2021-07-20T05:09:14Z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C7390D24E5F07FF87DFEF4604112CCCA</vt:lpwstr>
  </property>
</Properties>
</file>